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61"/>
      </w:tblGrid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Bias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>
              <w:t>A misrepresentation of the results as a result of error or inconsistency in the s</w:t>
            </w:r>
            <w:r w:rsidRPr="00961541">
              <w:t xml:space="preserve">election, sampling, </w:t>
            </w:r>
            <w:r>
              <w:t>questioning</w:t>
            </w:r>
            <w:r w:rsidRPr="00961541">
              <w:t xml:space="preserve">, </w:t>
            </w:r>
            <w:r>
              <w:t>or other aspects of the research process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Case Study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An in-depth examination of an individual, group, or event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Code of Ethics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Guidelines to ensure that evaluation research is carried out with honesty, integrity and respect towards participants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Control Group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1B70D0">
            <w:pPr>
              <w:spacing w:after="240"/>
            </w:pPr>
            <w:r w:rsidRPr="00961541">
              <w:t xml:space="preserve">A group </w:t>
            </w:r>
            <w:r w:rsidR="001B70D0">
              <w:t>that closely resembles</w:t>
            </w:r>
            <w:r w:rsidRPr="00961541">
              <w:t xml:space="preserve"> one being studied that does not receive a treatment or intervention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Dissemination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1B70D0" w:rsidP="00961541">
            <w:pPr>
              <w:spacing w:after="240"/>
            </w:pPr>
            <w:r>
              <w:t>Communicating</w:t>
            </w:r>
            <w:r w:rsidR="00961541" w:rsidRPr="00961541">
              <w:t xml:space="preserve"> of </w:t>
            </w:r>
            <w:r>
              <w:t>tailored results to</w:t>
            </w:r>
            <w:r w:rsidR="00961541" w:rsidRPr="00961541">
              <w:t xml:space="preserve"> an audience; can include reports, summaries, presentations and media engagement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 xml:space="preserve">Double </w:t>
            </w:r>
            <w:r w:rsidR="00D63474" w:rsidRPr="00961541">
              <w:rPr>
                <w:b/>
              </w:rPr>
              <w:t>Barreled</w:t>
            </w:r>
            <w:bookmarkStart w:id="0" w:name="_GoBack"/>
            <w:bookmarkEnd w:id="0"/>
            <w:r w:rsidRPr="00961541">
              <w:rPr>
                <w:b/>
              </w:rPr>
              <w:t xml:space="preserve"> Question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 xml:space="preserve">A flawed survey question made up of two or more questions e.g. Is this game fun and educational? 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Evaluation Questions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They focus the evaluation in terms of its overall purpose and aim by describing what we want to know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Executive Summary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 short document that summarizes the longer report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Fluid Survey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>
              <w:t>A Canadian</w:t>
            </w:r>
            <w:r w:rsidRPr="00961541">
              <w:t xml:space="preserve"> online survey design and hosting company </w:t>
            </w:r>
            <w:r>
              <w:t>similar to Survey Monkey  www.fluidsurveys.com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Focus Group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 planned discussion with a small group of people guided by a skilled facilitator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Indicator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Observable and measurable ‘milestones’ towards an outcome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Inputs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The money, items, people and in-kind contributions that the program uses to operate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Interdisciplinary Team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 group of people that come together from a group of disciplines to achieve a common goal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Knowledge Translation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 dynamic process that includes synthesis, dissemination, exchange and ethically sound application of knowledge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Leading Question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F2042F" w:rsidP="00961541">
            <w:pPr>
              <w:spacing w:after="240"/>
            </w:pPr>
            <w:r>
              <w:t>A question that is worded in a way so that it</w:t>
            </w:r>
            <w:r w:rsidR="00961541" w:rsidRPr="00961541">
              <w:t xml:space="preserve"> might direct respondents towards a particular response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Likert Scale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F2042F" w:rsidP="00961541">
            <w:pPr>
              <w:spacing w:after="240"/>
            </w:pPr>
            <w:r w:rsidRPr="00F2042F">
              <w:t xml:space="preserve">A type of response format used in surveys developed by </w:t>
            </w:r>
            <w:proofErr w:type="spellStart"/>
            <w:r w:rsidRPr="00F2042F">
              <w:t>Rensis</w:t>
            </w:r>
            <w:proofErr w:type="spellEnd"/>
            <w:r w:rsidRPr="00F2042F">
              <w:t xml:space="preserve"> Likert. Likert items have responses on a continuum and response categories such as "strongly agree," "agree," "disagree," and "strongly disagree."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Mixed Methods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An approach that combines both qualitative and quantitative forms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Outcome Evaluation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Assesses the impact or success of a program in achieving its goals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lastRenderedPageBreak/>
              <w:t>Outcomes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Short, intermediate and long-term change that occurs as a result of our activities or investment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Outputs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Tangible products or achievements resulting from program activities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Participatory Evaluation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Evaluation in which all partners (staff, participants and evaluators) are involved in the design and implementation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Primary Intended Users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Those who will make decisions about how evaluation findings will be acted upon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Process Evaluation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Type of evaluation that examines the procedures and tasks involved in delivering a program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Program Evaluation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F2042F" w:rsidP="00F2042F">
            <w:pPr>
              <w:spacing w:after="240"/>
            </w:pPr>
            <w:r>
              <w:t>The</w:t>
            </w:r>
            <w:r w:rsidRPr="00F2042F">
              <w:t xml:space="preserve"> systematic collection</w:t>
            </w:r>
            <w:r>
              <w:t xml:space="preserve"> </w:t>
            </w:r>
            <w:r w:rsidRPr="00F2042F">
              <w:t xml:space="preserve">of information about the </w:t>
            </w:r>
            <w:r>
              <w:t>a</w:t>
            </w:r>
            <w:r w:rsidRPr="00F2042F">
              <w:t>ctivities,</w:t>
            </w:r>
            <w:r>
              <w:t xml:space="preserve"> </w:t>
            </w:r>
            <w:r w:rsidRPr="00F2042F">
              <w:t>characteristics, and outcomes of programs to</w:t>
            </w:r>
            <w:r>
              <w:t xml:space="preserve"> </w:t>
            </w:r>
            <w:r w:rsidRPr="00F2042F">
              <w:t xml:space="preserve">make judgments </w:t>
            </w:r>
            <w:r>
              <w:t>a</w:t>
            </w:r>
            <w:r w:rsidRPr="00F2042F">
              <w:t>bout the program, improve</w:t>
            </w:r>
            <w:r>
              <w:t xml:space="preserve"> </w:t>
            </w:r>
            <w:r w:rsidRPr="00F2042F">
              <w:t>program effectiveness, and/or inform</w:t>
            </w:r>
            <w:r>
              <w:t xml:space="preserve"> </w:t>
            </w:r>
            <w:r w:rsidRPr="00F2042F">
              <w:t>decisions about future programming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Program Theory or Theory of Change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The explicit assumptions about how changes are expected to happen within a particular context in relation to an intervention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Qualitative Methods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F2042F" w:rsidP="00F2042F">
            <w:pPr>
              <w:spacing w:after="240"/>
            </w:pPr>
            <w:r>
              <w:t>Methods</w:t>
            </w:r>
            <w:r w:rsidRPr="00F2042F">
              <w:t xml:space="preserve"> that attempt to capture people's own meanings for their everyday behavior in specific contexts. These methods use</w:t>
            </w:r>
            <w:r>
              <w:t>:</w:t>
            </w:r>
            <w:r w:rsidRPr="00F2042F">
              <w:t xml:space="preserve"> participant observation</w:t>
            </w:r>
            <w:r>
              <w:t>;</w:t>
            </w:r>
            <w:r w:rsidRPr="00F2042F">
              <w:t xml:space="preserve"> field studies</w:t>
            </w:r>
            <w:r>
              <w:t>; o</w:t>
            </w:r>
            <w:r w:rsidR="00961541" w:rsidRPr="00961541">
              <w:t>pen-ended or semi-structured interviews; focus grou</w:t>
            </w:r>
            <w:r>
              <w:t xml:space="preserve">ps; </w:t>
            </w:r>
            <w:r w:rsidR="00961541" w:rsidRPr="00961541">
              <w:t>journals</w:t>
            </w:r>
            <w:r>
              <w:t xml:space="preserve">; </w:t>
            </w:r>
            <w:r w:rsidR="00961541" w:rsidRPr="00961541">
              <w:t>case study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 xml:space="preserve">Statistical Significance 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F2042F" w:rsidP="00F2042F">
            <w:pPr>
              <w:spacing w:after="240"/>
            </w:pPr>
            <w:r w:rsidRPr="00F2042F">
              <w:t>A measure of how confidently an observed difference between two or more groups can be attributed to the study interventions. The p value is the most commonly encountered way of rep</w:t>
            </w:r>
            <w:r>
              <w:t>orting statistical significance</w:t>
            </w:r>
            <w:r w:rsidR="00961541" w:rsidRPr="00961541">
              <w:t xml:space="preserve"> (e.g. p &lt; 0.05)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T-Test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>A statistical comparison of the average or mean between two groups</w:t>
            </w:r>
          </w:p>
        </w:tc>
      </w:tr>
      <w:tr w:rsidR="00961541" w:rsidRPr="00961541" w:rsidTr="00961541">
        <w:trPr>
          <w:trHeight w:val="300"/>
        </w:trPr>
        <w:tc>
          <w:tcPr>
            <w:tcW w:w="2808" w:type="dxa"/>
            <w:noWrap/>
            <w:hideMark/>
          </w:tcPr>
          <w:p w:rsidR="00961541" w:rsidRPr="00961541" w:rsidRDefault="00961541" w:rsidP="00961541">
            <w:pPr>
              <w:spacing w:after="240"/>
              <w:jc w:val="right"/>
              <w:rPr>
                <w:b/>
              </w:rPr>
            </w:pPr>
            <w:r w:rsidRPr="00961541">
              <w:rPr>
                <w:b/>
              </w:rPr>
              <w:t>Validity</w:t>
            </w:r>
          </w:p>
        </w:tc>
        <w:tc>
          <w:tcPr>
            <w:tcW w:w="6582" w:type="dxa"/>
            <w:noWrap/>
            <w:hideMark/>
          </w:tcPr>
          <w:p w:rsidR="00961541" w:rsidRPr="00961541" w:rsidRDefault="00961541" w:rsidP="00961541">
            <w:pPr>
              <w:spacing w:after="240"/>
            </w:pPr>
            <w:r w:rsidRPr="00961541">
              <w:t xml:space="preserve">From the Latin – </w:t>
            </w:r>
            <w:proofErr w:type="spellStart"/>
            <w:r w:rsidRPr="00961541">
              <w:rPr>
                <w:i/>
                <w:iCs/>
              </w:rPr>
              <w:t>validus</w:t>
            </w:r>
            <w:proofErr w:type="spellEnd"/>
            <w:r w:rsidRPr="00961541">
              <w:t xml:space="preserve"> – the degree to which a measurement measures what it purports to measure</w:t>
            </w:r>
          </w:p>
        </w:tc>
      </w:tr>
    </w:tbl>
    <w:p w:rsidR="00B0276E" w:rsidRPr="00961541" w:rsidRDefault="00B0276E" w:rsidP="00961541"/>
    <w:sectPr w:rsidR="00B0276E" w:rsidRPr="009615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8C" w:rsidRDefault="008E5A8C" w:rsidP="00F2042F">
      <w:r>
        <w:separator/>
      </w:r>
    </w:p>
  </w:endnote>
  <w:endnote w:type="continuationSeparator" w:id="0">
    <w:p w:rsidR="008E5A8C" w:rsidRDefault="008E5A8C" w:rsidP="00F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2F" w:rsidRPr="00F2042F" w:rsidRDefault="00D63474" w:rsidP="00F2042F">
    <w:pPr>
      <w:pStyle w:val="Footer"/>
      <w:pBdr>
        <w:top w:val="single" w:sz="12" w:space="1" w:color="7F7F7F" w:themeColor="text1" w:themeTint="80"/>
      </w:pBdr>
      <w:rPr>
        <w:i/>
        <w:szCs w:val="18"/>
      </w:rPr>
    </w:pPr>
    <w:r>
      <w:rPr>
        <w:i/>
        <w:szCs w:val="18"/>
      </w:rPr>
      <w:t xml:space="preserve">Summer </w:t>
    </w:r>
    <w:r w:rsidR="00F2042F" w:rsidRPr="00F2042F">
      <w:rPr>
        <w:i/>
        <w:szCs w:val="18"/>
      </w:rPr>
      <w:t xml:space="preserve">Institute in Program Evaluation, </w:t>
    </w:r>
    <w:r>
      <w:rPr>
        <w:i/>
        <w:szCs w:val="18"/>
      </w:rPr>
      <w:t>Winnipeg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8C" w:rsidRDefault="008E5A8C" w:rsidP="00F2042F">
      <w:r>
        <w:separator/>
      </w:r>
    </w:p>
  </w:footnote>
  <w:footnote w:type="continuationSeparator" w:id="0">
    <w:p w:rsidR="008E5A8C" w:rsidRDefault="008E5A8C" w:rsidP="00F2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3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0"/>
    </w:tblGrid>
    <w:tr w:rsidR="00F2042F" w:rsidTr="00F2042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3C7BF37AB424DA2B9AE6681AB94F5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385" w:type="dxa"/>
            </w:tcPr>
            <w:p w:rsidR="00F2042F" w:rsidRDefault="00F2042F" w:rsidP="00F2042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Glossary of Program Evaluation Terms</w:t>
              </w:r>
            </w:p>
          </w:tc>
        </w:sdtContent>
      </w:sdt>
    </w:tr>
  </w:tbl>
  <w:p w:rsidR="00F2042F" w:rsidRDefault="00F20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1"/>
    <w:rsid w:val="000C1C27"/>
    <w:rsid w:val="001B70D0"/>
    <w:rsid w:val="001F0BE6"/>
    <w:rsid w:val="00343B2E"/>
    <w:rsid w:val="00380B8C"/>
    <w:rsid w:val="0049778D"/>
    <w:rsid w:val="005875F8"/>
    <w:rsid w:val="006E3C94"/>
    <w:rsid w:val="007275A8"/>
    <w:rsid w:val="008E5A8C"/>
    <w:rsid w:val="00961541"/>
    <w:rsid w:val="0098031C"/>
    <w:rsid w:val="00981BB5"/>
    <w:rsid w:val="00B0276E"/>
    <w:rsid w:val="00B06024"/>
    <w:rsid w:val="00B84840"/>
    <w:rsid w:val="00B97988"/>
    <w:rsid w:val="00C43EE3"/>
    <w:rsid w:val="00C82669"/>
    <w:rsid w:val="00D63474"/>
    <w:rsid w:val="00F2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D5F9"/>
  <w15:docId w15:val="{08E5E921-2088-4F15-9F7F-87FC159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1541"/>
    <w:pPr>
      <w:spacing w:after="0" w:line="240" w:lineRule="auto"/>
      <w:ind w:left="0"/>
    </w:pPr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3EE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3EE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EE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EE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43EE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3E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EE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EE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EE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E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3E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3E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43E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43E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E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E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E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EE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43E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3E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43E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EE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43EE3"/>
    <w:rPr>
      <w:b/>
      <w:bCs/>
      <w:spacing w:val="0"/>
    </w:rPr>
  </w:style>
  <w:style w:type="character" w:styleId="Emphasis">
    <w:name w:val="Emphasis"/>
    <w:uiPriority w:val="20"/>
    <w:qFormat/>
    <w:rsid w:val="00C43E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43EE3"/>
  </w:style>
  <w:style w:type="paragraph" w:styleId="ListParagraph">
    <w:name w:val="List Paragraph"/>
    <w:basedOn w:val="Normal"/>
    <w:uiPriority w:val="34"/>
    <w:qFormat/>
    <w:rsid w:val="00C43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E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EE3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E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EE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C43EE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43EE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43E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43E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43E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EE3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C43EE3"/>
    <w:rPr>
      <w:color w:val="5A5A5A" w:themeColor="text1" w:themeTint="A5"/>
    </w:rPr>
  </w:style>
  <w:style w:type="table" w:styleId="TableGrid">
    <w:name w:val="Table Grid"/>
    <w:basedOn w:val="TableNormal"/>
    <w:uiPriority w:val="59"/>
    <w:rsid w:val="0096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2F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2F"/>
    <w:rPr>
      <w:rFonts w:ascii="Garamond" w:hAnsi="Garamon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7BF37AB424DA2B9AE6681AB94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82AC-72BC-4968-A498-0776A0708D05}"/>
      </w:docPartPr>
      <w:docPartBody>
        <w:p w:rsidR="00DE47CC" w:rsidRDefault="00763FCD" w:rsidP="00763FCD">
          <w:pPr>
            <w:pStyle w:val="A3C7BF37AB424DA2B9AE6681AB94F5F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D"/>
    <w:rsid w:val="000D4CEE"/>
    <w:rsid w:val="00264F6F"/>
    <w:rsid w:val="00477713"/>
    <w:rsid w:val="00763FCD"/>
    <w:rsid w:val="00D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F422AD7AD427092DB91A3EAA8FD9F">
    <w:name w:val="7B0F422AD7AD427092DB91A3EAA8FD9F"/>
    <w:rsid w:val="00763FCD"/>
  </w:style>
  <w:style w:type="paragraph" w:customStyle="1" w:styleId="9CB8C589116B4E1DAC2454AC61DA27F3">
    <w:name w:val="9CB8C589116B4E1DAC2454AC61DA27F3"/>
    <w:rsid w:val="00763FCD"/>
  </w:style>
  <w:style w:type="paragraph" w:customStyle="1" w:styleId="A3C7BF37AB424DA2B9AE6681AB94F5F7">
    <w:name w:val="A3C7BF37AB424DA2B9AE6681AB94F5F7"/>
    <w:rsid w:val="00763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of Program Evaluation Terms</vt:lpstr>
    </vt:vector>
  </TitlesOfParts>
  <Company> 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Program Evaluation Terms</dc:title>
  <dc:subject/>
  <dc:creator>bkinasevych</dc:creator>
  <cp:keywords/>
  <dc:description/>
  <cp:lastModifiedBy>Bohdanna Kinasevych</cp:lastModifiedBy>
  <cp:revision>2</cp:revision>
  <dcterms:created xsi:type="dcterms:W3CDTF">2016-05-29T20:45:00Z</dcterms:created>
  <dcterms:modified xsi:type="dcterms:W3CDTF">2016-05-29T20:45:00Z</dcterms:modified>
</cp:coreProperties>
</file>